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10. 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Мақсаты-қоғам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сегменттерінің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құндылықтық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қондырғыларымен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төрт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моделін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іс-әрекеттер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оқиғаларға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қызығушылықты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тетіктерін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сәйкестендіру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.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Тиімділікті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құны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кампанияның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өзінен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аспауы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тезис PR-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бағдарламаны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мерзімдерімен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имиджді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беделді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ұзақ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мерзімді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жұмысқа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бағыттасақ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таңдалған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бағыттың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дұрыстығын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нәтижелерді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эмпирикалық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мерзімді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жинауды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жүргізуіміз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кампанияларда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тиімділікті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мерзімді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асырылатын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жобаға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айналады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қызметке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қарағанда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ресурстарды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себептер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аудит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outsource-ге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шығарылуы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компаниялар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бағдарламасын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).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Тиімділікті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өлшемдері</w:t>
      </w:r>
      <w:proofErr w:type="spellEnd"/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r w:rsidRPr="005E1D68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Лассуэла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коммуникациясының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классикалық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теориясына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коммуникация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актісінің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схемасы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келесідей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арна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кімге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әсермен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хабарлайды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Коммуникацияның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құрылымдық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құраушысы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әрекеттердің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нәтижелерін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өлшеуге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өлшемдер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жасалуы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әсерлерді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өлшеу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PR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тиімділігі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шынайы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түсінік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коммуникация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актісінің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элементтерінің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жиынтығын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PR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бағалауды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.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Құрылымдық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элемент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өлшемдер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мысалдары</w:t>
      </w:r>
      <w:proofErr w:type="spellEnd"/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Спикерлерді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кім</w:t>
      </w:r>
      <w:proofErr w:type="spellEnd"/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ньюсмейкерлердің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дәйексөздері</w:t>
      </w:r>
      <w:proofErr w:type="spellEnd"/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ньюсмейкердің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даралығын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Басылымның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үндері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теріс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5E1D68">
        <w:rPr>
          <w:rFonts w:ascii="Times New Roman" w:hAnsi="Times New Roman" w:cs="Times New Roman"/>
          <w:sz w:val="24"/>
          <w:szCs w:val="24"/>
        </w:rPr>
        <w:t>бейтарап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)•</w:t>
      </w:r>
      <w:proofErr w:type="gramEnd"/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r w:rsidRPr="005E1D6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жолдаулардың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жиілігі</w:t>
      </w:r>
      <w:proofErr w:type="spellEnd"/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себептер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сипаты</w:t>
      </w:r>
      <w:proofErr w:type="spellEnd"/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Арна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БАҚ-да (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coverage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)•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жарияланымның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сипаты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аналитикалық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фактологиялық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сұхбат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рейтинг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т. б.))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арналар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кеңейту</w:t>
      </w:r>
      <w:proofErr w:type="spellEnd"/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коммуникацияның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арналарын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қауымдастықтар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конкурстар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т. б.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))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Нысаналы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аудиторияларды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кеңейту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кімге</w:t>
      </w:r>
      <w:proofErr w:type="spellEnd"/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аудиторияларға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сипаты</w:t>
      </w:r>
      <w:proofErr w:type="spellEnd"/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іс-шараға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қатысушылар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саны (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баспасөз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конференциясына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журналистер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)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r w:rsidRPr="005E1D68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бейнесін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әсері</w:t>
      </w:r>
      <w:proofErr w:type="spellEnd"/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месседждер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динамикасы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Жолдаулар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т. б.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Әрине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тізім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параметрлердің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көпшілігінің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динамикасы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өткізілетін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іс-шаралардың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тиімділігі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айтуға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.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r w:rsidRPr="005E1D68">
        <w:rPr>
          <w:rFonts w:ascii="Times New Roman" w:hAnsi="Times New Roman" w:cs="Times New Roman"/>
          <w:sz w:val="24"/>
          <w:szCs w:val="24"/>
        </w:rPr>
        <w:t>PR-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кампаниялар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тиімділігінің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таралған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критерийлерінің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БАҚ-та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өтудің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сандық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та,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өлшенгенін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ескеру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Еске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арттырудан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еске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жақсарту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аймақтық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басылымнан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баспасөзге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көшу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басылымдардың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беттеріне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әрқашан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назарға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.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ірі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энергетикалық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компания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өткізген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науқан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үлгісін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қарастырайық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кампания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басталмас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8 ай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баспасөзде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40-қа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жуық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жарияланым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жарық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көрді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материалдардың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фондық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ескертулерге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мамандандырылған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салалық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БАҚ-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тарға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келді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БАҚ-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тардың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назары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негізінен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еншілес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компания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төңірегіндегі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даулы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жағдайға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.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науқанның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айында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коммуникация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арналары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өзгерді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рейтингті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БАҚ-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тарда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жарияланым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5 телеэфир (ҒТВ, ОРТ)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Науқан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материалдардың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сипаты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айтарлықтай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өзгерді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Жарияланымдар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клиенттің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мазмұнды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бағалауды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аналитикалық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мақалаларды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ТЭК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үдерістерінің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сараптамалық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бағаларымен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клиенттің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сұхбатын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ұсынды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.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Тиімділікті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өлшемдермен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.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агенттіктердің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тәжірибесінде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классикалық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әдістердің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вариациялары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фирмалық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әдістемелер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Мәселен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өткізілген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науқанның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экономикалық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шараның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өткізілген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баспасөз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конференциясының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шыққан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жарияланымдардың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жарнамалық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құнын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есептей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.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әдістердің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алуан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түрлілігіне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қарамастан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классикалық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тәсілдің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: контент-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сараптамалық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сауалнама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әдісіне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толығырақ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тоқталғым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.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r w:rsidRPr="005E1D68">
        <w:rPr>
          <w:rFonts w:ascii="Times New Roman" w:hAnsi="Times New Roman" w:cs="Times New Roman"/>
          <w:sz w:val="24"/>
          <w:szCs w:val="24"/>
        </w:rPr>
        <w:t>Контент-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компанияның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белсенділігінің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бағалаудың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.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r w:rsidRPr="005E1D68">
        <w:rPr>
          <w:rFonts w:ascii="Times New Roman" w:hAnsi="Times New Roman" w:cs="Times New Roman"/>
          <w:sz w:val="24"/>
          <w:szCs w:val="24"/>
        </w:rPr>
        <w:t>Контент-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бағалаудың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күрделі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деңгейлі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қысқа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мерзімді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нәтижелерді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де,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іс-әрекеттеріміздің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ұзақ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мерзімді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әсерлерін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мүмкіндіктерін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асыра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аламыз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.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өткізілген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баспасөз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конференциясының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іс-шараға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қанша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журналист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аккредиттелгенін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басылымдардың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өкілдері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келгенін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қайсысы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жазғанын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соңында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іс-шараны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салған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Жолдаудың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медиа-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материалдарда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пайдаланылғанын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бағалауға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көзі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(газет, журнал,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Федералдық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өңірлік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БАҚ,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on-line-басылымдар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жарияланған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, материал жанры (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нарыққа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шолу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алдыңғы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қатарлы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сұхбат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фондық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жариялау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т. б.),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себептер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динамикасы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т. б.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медиа-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кеңістікті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критерийлерін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.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себептер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Жолдаулар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тұрғысынан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өрісті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неғұрлым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өнімді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зерттеуді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федералды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өңірлік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баспасөзді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БАҚ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материалдарының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айтарлықтай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массивін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(жарты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тарту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себептерді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бізге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компания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қызметіндегі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оқиғалар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БАҚ-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тудыратынын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қайсысы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байқалмаған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жатқанын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байқауға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Бейненің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динамикасын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жолдаулардың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таралуын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талдауды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қамтиды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- БАҚ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хабарламаларының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құрайтын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мағыналық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қондырғыларды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>.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</w:p>
    <w:p w:rsidR="005E1D68" w:rsidRPr="005E1D68" w:rsidRDefault="005E1D68" w:rsidP="005E1D6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b/>
          <w:sz w:val="24"/>
          <w:szCs w:val="24"/>
        </w:rPr>
        <w:t>Бақылау</w:t>
      </w:r>
      <w:proofErr w:type="spellEnd"/>
      <w:r w:rsidRPr="005E1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b/>
          <w:sz w:val="24"/>
          <w:szCs w:val="24"/>
        </w:rPr>
        <w:t>сұрақтары</w:t>
      </w:r>
      <w:proofErr w:type="spellEnd"/>
      <w:r w:rsidRPr="005E1D68">
        <w:rPr>
          <w:rFonts w:ascii="Times New Roman" w:hAnsi="Times New Roman" w:cs="Times New Roman"/>
          <w:b/>
          <w:sz w:val="24"/>
          <w:szCs w:val="24"/>
        </w:rPr>
        <w:t>: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r w:rsidRPr="005E1D68">
        <w:rPr>
          <w:rFonts w:ascii="Times New Roman" w:hAnsi="Times New Roman" w:cs="Times New Roman"/>
          <w:sz w:val="24"/>
          <w:szCs w:val="24"/>
        </w:rPr>
        <w:t>1. Бизнес-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имиджін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жақсартудың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жоспарын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r w:rsidRPr="005E1D6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Ресурстық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тәсіл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айырмашылықтарды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мысалда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r w:rsidRPr="005E1D6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циклін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кезеңдерін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r w:rsidRPr="005E1D6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технологияларын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</w:p>
    <w:p w:rsidR="005E1D68" w:rsidRPr="005E1D68" w:rsidRDefault="005E1D68" w:rsidP="005E1D6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1D68">
        <w:rPr>
          <w:rFonts w:ascii="Times New Roman" w:hAnsi="Times New Roman" w:cs="Times New Roman"/>
          <w:b/>
          <w:sz w:val="24"/>
          <w:szCs w:val="24"/>
        </w:rPr>
        <w:t>Ұсынылатын</w:t>
      </w:r>
      <w:proofErr w:type="spellEnd"/>
      <w:r w:rsidRPr="005E1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b/>
          <w:sz w:val="24"/>
          <w:szCs w:val="24"/>
        </w:rPr>
        <w:t>әдебиет</w:t>
      </w:r>
      <w:proofErr w:type="spellEnd"/>
      <w:r w:rsidRPr="005E1D68">
        <w:rPr>
          <w:rFonts w:ascii="Times New Roman" w:hAnsi="Times New Roman" w:cs="Times New Roman"/>
          <w:b/>
          <w:sz w:val="24"/>
          <w:szCs w:val="24"/>
        </w:rPr>
        <w:t>: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r w:rsidRPr="005E1D68">
        <w:rPr>
          <w:rFonts w:ascii="Times New Roman" w:hAnsi="Times New Roman" w:cs="Times New Roman"/>
          <w:sz w:val="24"/>
          <w:szCs w:val="24"/>
        </w:rPr>
        <w:t xml:space="preserve">1. Грей К. Ф.,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Ларсон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Э. У.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Болезней. М.:2014 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r w:rsidRPr="005E1D6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Семенюта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А. Н.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Минск: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r w:rsidRPr="005E1D68">
        <w:rPr>
          <w:rFonts w:ascii="Times New Roman" w:hAnsi="Times New Roman" w:cs="Times New Roman"/>
          <w:sz w:val="24"/>
          <w:szCs w:val="24"/>
        </w:rPr>
        <w:t xml:space="preserve">3. Лебедева Т. Паблик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жүйелік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модельдер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М: 2007. 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r w:rsidRPr="005E1D6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Ольшевский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А. С.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Дағдарысқа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 PR-консалтинг / А. С. </w:t>
      </w:r>
      <w:proofErr w:type="spellStart"/>
      <w:r w:rsidRPr="005E1D68">
        <w:rPr>
          <w:rFonts w:ascii="Times New Roman" w:hAnsi="Times New Roman" w:cs="Times New Roman"/>
          <w:sz w:val="24"/>
          <w:szCs w:val="24"/>
        </w:rPr>
        <w:t>Ольшевский</w:t>
      </w:r>
      <w:proofErr w:type="spellEnd"/>
      <w:r w:rsidRPr="005E1D68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5E1D68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5E1D68">
        <w:rPr>
          <w:rFonts w:ascii="Times New Roman" w:hAnsi="Times New Roman" w:cs="Times New Roman"/>
          <w:sz w:val="24"/>
          <w:szCs w:val="24"/>
        </w:rPr>
        <w:t xml:space="preserve"> Питер, 2012</w:t>
      </w:r>
    </w:p>
    <w:p w:rsidR="005E1D68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</w:p>
    <w:p w:rsidR="00601A4F" w:rsidRPr="005E1D68" w:rsidRDefault="005E1D68" w:rsidP="005E1D68">
      <w:pPr>
        <w:rPr>
          <w:rFonts w:ascii="Times New Roman" w:hAnsi="Times New Roman" w:cs="Times New Roman"/>
          <w:sz w:val="24"/>
          <w:szCs w:val="24"/>
        </w:rPr>
      </w:pPr>
      <w:r w:rsidRPr="005E1D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1A4F" w:rsidRPr="005E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8A"/>
    <w:rsid w:val="005E1D68"/>
    <w:rsid w:val="00601A4F"/>
    <w:rsid w:val="00D7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B79BF-B789-4284-A64F-200390B6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Мамырова Кулайым</dc:creator>
  <cp:keywords/>
  <dc:description/>
  <cp:lastModifiedBy>Мамырова Кулайым</cp:lastModifiedBy>
  <cp:revision>2</cp:revision>
  <dcterms:created xsi:type="dcterms:W3CDTF">2019-10-30T12:40:00Z</dcterms:created>
  <dcterms:modified xsi:type="dcterms:W3CDTF">2019-10-30T12:41:00Z</dcterms:modified>
</cp:coreProperties>
</file>